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работе педагога-психолога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 «Линевская школа – интернат»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2022-2023 учебный год</w:t>
      </w:r>
      <w:r>
        <w:br w:type="page"/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деятельности.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Организационно-методическое направление.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Результатами организационно-методической работы за учебный год стали: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личных дел вновь прибывших учащихся; составление коррекционных программ, анализ результатов диагностической работы, заполнение коррекционных дневников. Ведение нормативной документации. Участие в мероприятиях различного уровня, участие в заседаниях МО педагогов-психологов Искитимского района, участие в семинарах операторов базы ОВЗ, выступления на МО, выступление на педагогическом совете. Пополнение кабинета дидактическими материалами и пособиями, методической литературой.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Диагностическое направление.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учебного года диагностическая деятельность была направлена на выявление особенностей психологической адаптации учащихся 1,5 классов, выявление индивидуально-психологических особенностей вновь прибывших учащихся. Проводилось обследование детей для составления психологических характеристик 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Медико-социальную экспертизу для </w:t>
      </w:r>
      <w:r>
        <w:rPr>
          <w:rFonts w:cs="Times New Roman" w:ascii="Times New Roman" w:hAnsi="Times New Roman"/>
          <w:sz w:val="28"/>
          <w:szCs w:val="28"/>
        </w:rPr>
        <w:t>освидетельствования граждан для изучения распространенности и структуры инвалидности.</w:t>
      </w:r>
      <w:r>
        <w:rPr>
          <w:rFonts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Диагностика профориентационной направленности: выявление склонностей и интересов детей, определение с выбором будущей профессии. Диагностическое обследование детей с целью выявления особенностей развития познавательной сферы, комплектования групп и планирование индивидуальной коррекционной работы с учащимися в начале учебного года (в конце учебного года диагностика не проводилась, т.к. дети находились на дистанционном обучении).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Коррекционно-развивающее направление.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прошедший период проводилась групповая, подгрупповая и индивидуальная коррекционно-развивающая работа с учащимися подготовительного, 1,2,3,4,8,9 классов, направленная на развитие необходимых качеств, способствующих оптимизации психического развития личности учащихся.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Профилактическая, консультативная, методическая помощь.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Консультативная работа проводилась по мере поступления запросов.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Индивидуальные профилактические беседы с учащимися 4 - 9 классов.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Просветительская деятельность.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мероприятий в рамках дефектологической школы в соответствии с планом.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4"/>
        <w:gridCol w:w="3569"/>
        <w:gridCol w:w="2165"/>
        <w:gridCol w:w="2027"/>
        <w:gridCol w:w="46"/>
        <w:gridCol w:w="2075"/>
      </w:tblGrid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Всего приемов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Дети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Педагоги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Родители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индивидуальных обследований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57</w:t>
            </w:r>
          </w:p>
          <w:p>
            <w:pPr>
              <w:pStyle w:val="Normal"/>
              <w:widowControl/>
              <w:spacing w:before="0" w:after="200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индивидуальных консультаций, бесед, оказание методической помощи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46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индивидуальных занятий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476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групповых обследований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групповых консультаций, собраний, бесед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</w:tr>
      <w:tr>
        <w:trPr>
          <w:trHeight w:val="737" w:hRule="atLeast"/>
        </w:trPr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групповых занятий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168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7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Количество посещений групповых занятий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Участие в консилиумах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9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Участие в семинарах, МО, педагогических советах, совещаниях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2073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  <w:tr>
        <w:trPr/>
        <w:tc>
          <w:tcPr>
            <w:tcW w:w="10466" w:type="dxa"/>
            <w:gridSpan w:val="6"/>
            <w:tcBorders/>
          </w:tcPr>
          <w:p>
            <w:pPr>
              <w:pStyle w:val="Normal"/>
              <w:widowControl/>
              <w:spacing w:before="0" w:after="200"/>
              <w:ind w:left="14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Участие в общешкольных мероприятиях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7761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Заполнение данных участников образовательного процесса школы-интерната в базе ОВЗ.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 течении года  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11</w:t>
            </w:r>
          </w:p>
        </w:tc>
        <w:tc>
          <w:tcPr>
            <w:tcW w:w="7761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Участие в заседаниях школьного ПМПк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август-май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7761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Выступление на педагогическом совете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июнь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13</w:t>
            </w:r>
          </w:p>
        </w:tc>
        <w:tc>
          <w:tcPr>
            <w:tcW w:w="7761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Выступление на МО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март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14</w:t>
            </w:r>
          </w:p>
        </w:tc>
        <w:tc>
          <w:tcPr>
            <w:tcW w:w="7761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Оформление стендовой информации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по плану 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7761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Участие в заседаниях МО</w:t>
            </w:r>
          </w:p>
        </w:tc>
        <w:tc>
          <w:tcPr>
            <w:tcW w:w="2121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 плану</w:t>
            </w:r>
          </w:p>
        </w:tc>
      </w:tr>
      <w:tr>
        <w:trPr/>
        <w:tc>
          <w:tcPr>
            <w:tcW w:w="10466" w:type="dxa"/>
            <w:gridSpan w:val="6"/>
            <w:tcBorders/>
          </w:tcPr>
          <w:p>
            <w:pPr>
              <w:pStyle w:val="Normal"/>
              <w:widowControl/>
              <w:spacing w:before="0" w:after="200"/>
              <w:ind w:left="2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Профессиональный рост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«Организация профориентационной работы с обучающимися с ОВЗ и инвалидностью» - 72 часа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Сентябрь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«Внедрение порядка межведомственного взаимодействия органов и учреждений системы профилактики»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Сентябрь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18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«Образования»» 72 часа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декабрь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19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Конкурс областной «Самая классная»-2022, сайт nsk.kp.ru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август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Областной съезд дефектологов (сертификат)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декабрь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Всероссийская конференция (сертификат)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декабрь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22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Районный семинар (сертификат)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апрель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23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Международная олимпиада (диплом)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апрель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24</w:t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Всероссийский вебинар «Дети с синдромом дефицита внимания и гиперактивностью Как с ними работать?»</w:t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январь</w:t>
            </w:r>
          </w:p>
        </w:tc>
      </w:tr>
      <w:tr>
        <w:trPr/>
        <w:tc>
          <w:tcPr>
            <w:tcW w:w="584" w:type="dxa"/>
            <w:tcBorders/>
          </w:tcPr>
          <w:p>
            <w:pPr>
              <w:pStyle w:val="Normal"/>
              <w:widowControl/>
              <w:spacing w:before="0" w:after="200"/>
              <w:ind w:left="-59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7807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2075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Направлениями работы в следующем году будут: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сопровождение учащи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хся 1, 5  классов;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профессиональное самоопределение учащихся 9 классов;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сопровождение  детей-инвалидов;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сопровождение детей с нарушениями поведения.</w:t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Карнаухова Е.В.    31.05.2023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ff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f81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ff0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LibreOffice/7.0.6.2$Linux_X86_64 LibreOffice_project/00$Build-2</Application>
  <AppVersion>15.0000</AppVersion>
  <Pages>9</Pages>
  <Words>534</Words>
  <Characters>4012</Characters>
  <CharactersWithSpaces>4439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2023-05-31T03:03:00Z</dcterms:created>
  <dc:creator>Пользователь</dc:creator>
  <dc:description/>
  <dc:language>ru-RU</dc:language>
  <cp:lastModifiedBy>Пользователь</cp:lastModifiedBy>
  <dcterms:modified xsi:type="dcterms:W3CDTF">2023-05-31T05:27:00Z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